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color w:val="000000"/>
          <w:spacing w:val="-5"/>
          <w:sz w:val="24"/>
          <w:szCs w:val="24"/>
          <w:lang w:eastAsia="en-US"/>
        </w:rPr>
      </w:pPr>
      <w:bookmarkStart w:id="0" w:name="_Toc129861224"/>
      <w:bookmarkStart w:id="1" w:name="_Toc129862292"/>
      <w:r>
        <w:rPr>
          <w:rFonts w:ascii="Arial" w:cs="Arial" w:hAnsi="Arial"/>
          <w:color w:val="000000"/>
          <w:spacing w:val="-5"/>
          <w:sz w:val="24"/>
          <w:szCs w:val="24"/>
          <w:lang w:eastAsia="en-US"/>
        </w:rPr>
        <w:t>ДЕПАРТАМЕНТ ОБРАЗОВАНИЯ И НАУКИ ТЮМЕНСКОЙ ОБЛАСТИ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 xml:space="preserve">ГОСУДАРСТВЕННОЕ АВТОНОМНОЕ ПРОФЕССИОНАЛЬНОЕ 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>ОБРАЗОВАТЕЛЬНОЕ УЧРЕЖДЕНИЕ ТЮМЕНСКОЙ ОБЛАСТИ</w:t>
      </w:r>
    </w:p>
    <w:p>
      <w:pPr>
        <w:widowControl w:val="off"/>
        <w:shd w:val="clear" w:color="auto" w:fill="ffffff"/>
        <w:spacing w:after="0" w:line="240" w:lineRule="auto"/>
        <w:jc w:val="center"/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</w:pPr>
      <w:r>
        <w:rPr>
          <w:rFonts w:ascii="Arial" w:cs="Arial" w:hAnsi="Arial"/>
          <w:b/>
          <w:color w:val="000000"/>
          <w:spacing w:val="-5"/>
          <w:sz w:val="24"/>
          <w:szCs w:val="24"/>
          <w:lang w:eastAsia="en-US"/>
        </w:rPr>
        <w:t>«ГОЛЫШМАНОВСКИЙ АГРОПЕДАГОГИЧЕСКИЙ КОЛЛЕДЖ»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color w:val="000000"/>
          <w:spacing w:val="-5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Приложение № ___ к ООП СПО (ППССЗ)</w:t>
      </w:r>
    </w:p>
    <w:p>
      <w:pPr>
        <w:widowControl w:val="off"/>
        <w:spacing w:after="0" w:line="240" w:lineRule="auto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 xml:space="preserve">по специальности </w:t>
      </w:r>
      <w:r>
        <w:rPr>
          <w:rFonts w:ascii="Arial" w:cs="Arial" w:hAnsi="Arial"/>
          <w:sz w:val="24"/>
          <w:szCs w:val="24"/>
          <w:lang w:eastAsia="en-US"/>
        </w:rPr>
        <w:t xml:space="preserve">49.02.01 Физическая культура </w:t>
      </w:r>
    </w:p>
    <w:p>
      <w:pPr>
        <w:widowControl w:val="off"/>
        <w:spacing w:after="0" w:line="240" w:lineRule="auto"/>
        <w:ind w:left="4956"/>
        <w:jc w:val="right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  <w:r>
        <w:rPr>
          <w:rFonts w:ascii="Arial" w:cs="Arial" w:hAnsi="Arial"/>
          <w:sz w:val="24"/>
          <w:szCs w:val="24"/>
          <w:lang w:eastAsia="en-US"/>
        </w:rPr>
        <w:tab/>
      </w: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  <w:lang w:eastAsia="en-US"/>
        </w:rPr>
      </w:pPr>
      <w:r>
        <w:rPr>
          <w:rFonts w:ascii="Arial" w:cs="Arial" w:hAnsi="Arial"/>
          <w:b/>
          <w:bCs/>
          <w:sz w:val="24"/>
          <w:szCs w:val="24"/>
          <w:lang w:eastAsia="en-US"/>
        </w:rPr>
        <w:t>ПРОГРАММА УЧЕБНОЙ ДИСЦИПЛИНЫ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b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ОПЦ.05 Проектная и исследовательская деятельность </w:t>
      </w:r>
    </w:p>
    <w:p>
      <w:pPr>
        <w:widowControl w:val="off"/>
        <w:spacing w:after="0" w:line="240" w:lineRule="auto"/>
        <w:jc w:val="center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в профессиональной сфере</w:t>
      </w: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jc w:val="right"/>
        <w:rPr>
          <w:rFonts w:ascii="Arial" w:cs="Arial" w:hAnsi="Arial"/>
          <w:sz w:val="24"/>
          <w:szCs w:val="24"/>
        </w:rPr>
      </w:pPr>
    </w:p>
    <w:p>
      <w:pPr>
        <w:jc w:val="right"/>
        <w:rPr>
          <w:rFonts w:ascii="Arial" w:cs="Arial" w:hAnsi="Arial"/>
          <w:b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2023</w:t>
      </w:r>
    </w:p>
    <w:p>
      <w:pPr>
        <w:spacing w:after="0" w:line="240" w:lineRule="auto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bCs/>
          <w:sz w:val="24"/>
          <w:szCs w:val="24"/>
        </w:rPr>
        <w:t>ОПЦ.0</w:t>
      </w:r>
      <w:r>
        <w:rPr>
          <w:rFonts w:ascii="Arial" w:cs="Arial" w:hAnsi="Arial"/>
          <w:bCs/>
          <w:sz w:val="24"/>
          <w:szCs w:val="24"/>
        </w:rPr>
        <w:t xml:space="preserve">5 Проектная и исследовательская </w:t>
      </w:r>
      <w:r>
        <w:rPr>
          <w:rFonts w:ascii="Arial" w:cs="Arial" w:hAnsi="Arial"/>
          <w:bCs/>
          <w:sz w:val="24"/>
          <w:szCs w:val="24"/>
        </w:rPr>
        <w:t>деятельност</w:t>
      </w:r>
      <w:r>
        <w:rPr>
          <w:rFonts w:ascii="Arial" w:cs="Arial" w:hAnsi="Arial"/>
          <w:bCs/>
          <w:sz w:val="24"/>
          <w:szCs w:val="24"/>
        </w:rPr>
        <w:t>ь</w:t>
      </w:r>
      <w:r>
        <w:rPr>
          <w:rFonts w:ascii="Arial" w:cs="Arial" w:hAnsi="Arial"/>
          <w:bCs/>
          <w:sz w:val="24"/>
          <w:szCs w:val="24"/>
        </w:rPr>
        <w:t xml:space="preserve"> в профессиональной сфере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</w:t>
      </w:r>
      <w:r>
        <w:rPr>
          <w:rFonts w:ascii="Arial" w:cs="Arial" w:hAnsi="Arial"/>
          <w:sz w:val="24"/>
          <w:szCs w:val="24"/>
        </w:rPr>
        <w:t>льного образования (ФГОС СПО) 49</w:t>
      </w:r>
      <w:r>
        <w:rPr>
          <w:rFonts w:ascii="Arial" w:cs="Arial" w:hAnsi="Arial"/>
          <w:sz w:val="24"/>
          <w:szCs w:val="24"/>
        </w:rPr>
        <w:t>.02.01</w:t>
      </w:r>
      <w:r>
        <w:rPr>
          <w:rFonts w:ascii="Arial" w:cs="Arial" w:hAnsi="Arial"/>
          <w:sz w:val="24"/>
          <w:szCs w:val="24"/>
        </w:rPr>
        <w:t xml:space="preserve"> Физическая культура</w:t>
      </w:r>
      <w:r>
        <w:rPr>
          <w:rFonts w:ascii="Arial" w:cs="Arial" w:hAnsi="Arial"/>
          <w:sz w:val="24"/>
          <w:szCs w:val="24"/>
        </w:rPr>
        <w:t>, утвержденного приказом Министерства образования и науки Российской Федерации от 17 августа 2022 г. № 743</w:t>
      </w:r>
      <w:r>
        <w:rPr>
          <w:rFonts w:ascii="Arial" w:cs="Arial" w:hAnsi="Arial"/>
          <w:color w:val="ff0000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а основе Примерной программы общеобразовательной учебной дисциплины</w:t>
      </w:r>
      <w:r>
        <w:rPr>
          <w:rFonts w:ascii="Arial" w:cs="Arial" w:hAnsi="Arial"/>
          <w:bCs/>
          <w:sz w:val="24"/>
          <w:szCs w:val="24"/>
        </w:rPr>
        <w:t xml:space="preserve"> Проектная и исследовательская деятельности в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в</w:t>
      </w:r>
      <w:r>
        <w:rPr>
          <w:rFonts w:ascii="Arial" w:cs="Arial" w:hAnsi="Arial"/>
          <w:bCs/>
          <w:sz w:val="24"/>
          <w:szCs w:val="24"/>
        </w:rPr>
        <w:t xml:space="preserve"> профессиональной сфере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рассмотренной на заседании Педагогического совета ОГБОУДГІ0ИРЯ0 (Протокол №1 от 29тсентября 2022г.),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>
      <w:pPr>
        <w:ind w:firstLine="709"/>
        <w:jc w:val="both"/>
        <w:rPr>
          <w:rFonts w:ascii="Arial" w:cs="Arial" w:hAnsi="Arial"/>
          <w:i/>
          <w:sz w:val="24"/>
          <w:szCs w:val="24"/>
        </w:rPr>
      </w:pP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</w:t>
      </w:r>
      <w:r>
        <w:rPr>
          <w:rFonts w:ascii="Arial" w:cs="Arial" w:hAnsi="Arial"/>
          <w:b/>
          <w:sz w:val="24"/>
          <w:szCs w:val="24"/>
        </w:rPr>
        <w:t xml:space="preserve">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агропедагогический колледж»</w:t>
      </w:r>
    </w:p>
    <w:p>
      <w:pPr>
        <w:tabs>
          <w:tab w:val="left" w:pos="709"/>
        </w:tabs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709"/>
        </w:tabs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</w:p>
    <w:p>
      <w:pPr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Шмелева Л.В., преподаватель высшей квалификационной категории ГАПОУ ТО «</w:t>
      </w:r>
      <w:r>
        <w:rPr>
          <w:rFonts w:ascii="Arial" w:cs="Arial" w:hAnsi="Arial"/>
          <w:sz w:val="24"/>
          <w:szCs w:val="24"/>
        </w:rPr>
        <w:t>Голышмановский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агропедколледж</w:t>
      </w:r>
      <w:r>
        <w:rPr>
          <w:rFonts w:ascii="Arial" w:cs="Arial" w:hAnsi="Arial"/>
          <w:sz w:val="24"/>
          <w:szCs w:val="24"/>
        </w:rPr>
        <w:t>»</w:t>
      </w:r>
    </w:p>
    <w:p>
      <w:pPr>
        <w:tabs>
          <w:tab w:val="left" w:pos="3709"/>
        </w:tabs>
        <w:jc w:val="both"/>
        <w:rPr>
          <w:rFonts w:ascii="Arial" w:cs="Arial" w:hAnsi="Arial"/>
          <w:b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jc w:val="center"/>
        <w:rPr>
          <w:rFonts w:ascii="Arial" w:cs="Arial" w:hAnsi="Arial"/>
          <w:bCs/>
          <w:sz w:val="24"/>
          <w:szCs w:val="24"/>
        </w:rPr>
      </w:pP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bookmarkEnd w:id="0"/>
      <w:bookmarkEnd w:id="1"/>
      <w:r>
        <w:rPr>
          <w:rFonts w:ascii="Arial" w:cs="Arial" w:hAnsi="Arial"/>
          <w:b/>
          <w:sz w:val="24"/>
          <w:szCs w:val="24"/>
        </w:rPr>
        <w:t>Аннотация рабочей программы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ОПЦ.05 Проектная и исследовательская деятельность </w:t>
      </w:r>
    </w:p>
    <w:p>
      <w:pPr>
        <w:ind w:firstLine="709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в профессиональной сфере</w:t>
      </w:r>
    </w:p>
    <w:p>
      <w:pPr>
        <w:widowControl w:val="off"/>
        <w:numPr>
          <w:ilvl w:val="0"/>
          <w:numId w:val="14"/>
        </w:numPr>
        <w:spacing w:before="18"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Нормативная база и УМК </w:t>
      </w:r>
    </w:p>
    <w:p>
      <w:pPr>
        <w:widowControl w:val="off"/>
        <w:spacing w:before="18" w:after="0" w:line="240" w:lineRule="auto"/>
        <w:ind w:left="720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426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учебной дисциплины </w:t>
      </w:r>
      <w:r>
        <w:rPr>
          <w:rFonts w:ascii="Arial" w:cs="Arial" w:hAnsi="Arial"/>
          <w:bCs/>
          <w:sz w:val="24"/>
          <w:szCs w:val="24"/>
        </w:rPr>
        <w:t xml:space="preserve">ОПЦ.05 Проектная и исследовательская деятельность в профессиональной сфере </w:t>
      </w:r>
      <w:r>
        <w:rPr>
          <w:rFonts w:ascii="Arial" w:cs="Arial" w:hAnsi="Arial"/>
          <w:sz w:val="24"/>
          <w:szCs w:val="24"/>
        </w:rPr>
        <w:t>разработана с учетом федерального государственного образовательного стандарта среднего профессиона</w:t>
      </w:r>
      <w:r>
        <w:rPr>
          <w:rFonts w:ascii="Arial" w:cs="Arial" w:hAnsi="Arial"/>
          <w:sz w:val="24"/>
          <w:szCs w:val="24"/>
        </w:rPr>
        <w:t>льного образования (ФГОС СПО) 49</w:t>
      </w:r>
      <w:r>
        <w:rPr>
          <w:rFonts w:ascii="Arial" w:cs="Arial" w:hAnsi="Arial"/>
          <w:sz w:val="24"/>
          <w:szCs w:val="24"/>
        </w:rPr>
        <w:t>.02.01</w:t>
      </w:r>
      <w:r>
        <w:rPr>
          <w:rFonts w:ascii="Arial" w:cs="Arial" w:hAnsi="Arial"/>
          <w:sz w:val="24"/>
          <w:szCs w:val="24"/>
        </w:rPr>
        <w:t xml:space="preserve"> Физическая культура</w:t>
      </w:r>
      <w:r>
        <w:rPr>
          <w:rFonts w:ascii="Arial" w:cs="Arial" w:hAnsi="Arial"/>
          <w:sz w:val="24"/>
          <w:szCs w:val="24"/>
        </w:rPr>
        <w:t>, утвержденного приказом Министерства образования и науки Российской Федерации от 17 августа 2022 г. № 743</w:t>
      </w:r>
      <w:r>
        <w:rPr>
          <w:rFonts w:ascii="Arial" w:cs="Arial" w:hAnsi="Arial"/>
          <w:color w:val="ff0000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н</w:t>
      </w:r>
      <w:r>
        <w:rPr>
          <w:rFonts w:ascii="Arial" w:cs="Arial" w:hAnsi="Arial"/>
          <w:sz w:val="24"/>
          <w:szCs w:val="24"/>
        </w:rPr>
        <w:t>а основе Примерной программы общеобразовательной учебной дисциплины</w:t>
      </w:r>
      <w:r>
        <w:rPr>
          <w:rFonts w:ascii="Arial" w:cs="Arial" w:hAnsi="Arial"/>
          <w:bCs/>
          <w:sz w:val="24"/>
          <w:szCs w:val="24"/>
        </w:rPr>
        <w:t xml:space="preserve"> Проектная и исследовательская деятельности в </w:t>
      </w:r>
      <w:r>
        <w:rPr>
          <w:rFonts w:ascii="Arial" w:cs="Arial" w:hAnsi="Arial"/>
          <w:bCs/>
          <w:sz w:val="24"/>
          <w:szCs w:val="24"/>
        </w:rPr>
        <w:t>в</w:t>
      </w:r>
      <w:r>
        <w:rPr>
          <w:rFonts w:ascii="Arial" w:cs="Arial" w:hAnsi="Arial"/>
          <w:bCs/>
          <w:sz w:val="24"/>
          <w:szCs w:val="24"/>
        </w:rPr>
        <w:t xml:space="preserve"> профессиональной сфере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bCs/>
          <w:sz w:val="24"/>
          <w:szCs w:val="24"/>
        </w:rPr>
        <w:t>рассмотренной на заседании Педагогического совета ОГБОУДГІ0ИРЯ0 (Протокол №1 от 29тсентября 2022г.),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>
      <w:pPr>
        <w:ind w:firstLine="709"/>
        <w:jc w:val="both"/>
        <w:rPr>
          <w:rFonts w:ascii="Arial" w:cs="Arial" w:hAnsi="Arial"/>
          <w:i/>
          <w:sz w:val="24"/>
          <w:szCs w:val="24"/>
        </w:rPr>
      </w:pPr>
    </w:p>
    <w:p>
      <w:pPr>
        <w:widowControl w:val="off"/>
        <w:spacing w:before="18" w:after="0" w:line="240" w:lineRule="auto"/>
        <w:ind w:left="720"/>
        <w:rPr>
          <w:rFonts w:ascii="Arial" w:cs="Arial" w:hAnsi="Arial"/>
          <w:b/>
          <w:sz w:val="24"/>
          <w:szCs w:val="24"/>
        </w:rPr>
      </w:pPr>
    </w:p>
    <w:p>
      <w:pPr>
        <w:spacing w:before="120"/>
        <w:ind w:left="170" w:right="113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widowControl w:val="off"/>
        <w:spacing w:after="0" w:line="240" w:lineRule="auto"/>
        <w:ind w:firstLine="572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Цель: освоить общие компетенции по сбору, анализу, хранению, обработке и представлению информации.</w:t>
      </w:r>
    </w:p>
    <w:p>
      <w:pPr>
        <w:widowControl w:val="off"/>
        <w:spacing w:after="0" w:line="240" w:lineRule="auto"/>
        <w:ind w:firstLine="567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Задачи:</w:t>
      </w:r>
    </w:p>
    <w:p>
      <w:pPr>
        <w:widowControl w:val="off"/>
        <w:numPr>
          <w:ilvl w:val="0"/>
          <w:numId w:val="13"/>
        </w:numPr>
        <w:tabs>
          <w:tab w:val="left" w:pos="1154"/>
          <w:tab w:val="left" w:pos="1229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</w:t>
      </w:r>
      <w:r>
        <w:rPr>
          <w:rFonts w:ascii="Arial" w:cs="Arial" w:hAnsi="Arial"/>
          <w:sz w:val="24"/>
          <w:szCs w:val="24"/>
        </w:rPr>
        <w:t xml:space="preserve">формировать  умения </w:t>
      </w:r>
      <w:r>
        <w:rPr>
          <w:rFonts w:ascii="Arial" w:cs="Arial" w:hAnsi="Arial"/>
          <w:color w:val="0d0d0d"/>
          <w:sz w:val="24"/>
          <w:szCs w:val="24"/>
        </w:rPr>
        <w:t>анализировать исследовательские работы с точки зрения логики исследования;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разрабатывать план учебно-исследовательской работы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color w:val="0d0d0d"/>
          <w:sz w:val="24"/>
          <w:szCs w:val="24"/>
        </w:rPr>
        <w:t>определять методы для организации собственного исследования;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разрабатывать педагогический проект;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/>
        <w:ind w:firstLine="408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обобщать и анализировать результаты исследования, оформлять учебно-исследовательскую работу;</w:t>
      </w:r>
    </w:p>
    <w:p>
      <w:pPr>
        <w:widowControl w:val="off"/>
        <w:numPr>
          <w:ilvl w:val="0"/>
          <w:numId w:val="13"/>
        </w:numPr>
        <w:tabs>
          <w:tab w:val="left" w:pos="1154"/>
        </w:tabs>
        <w:spacing w:after="0" w:line="240" w:lineRule="auto"/>
        <w:ind w:left="0" w:firstLine="576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использовать приемы защиты результатов исследования.</w:t>
      </w:r>
    </w:p>
    <w:p>
      <w:pPr>
        <w:widowControl w:val="off"/>
        <w:spacing w:before="23" w:after="0" w:line="256" w:lineRule="auto"/>
        <w:ind w:left="153" w:right="187" w:firstLine="572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3.Основные разделы дисциплины и количество часов на изучение дисциплины </w:t>
      </w:r>
    </w:p>
    <w:p>
      <w:pPr>
        <w:spacing w:before="120" w:after="120" w:line="240" w:lineRule="auto"/>
        <w:ind w:left="720"/>
        <w:jc w:val="both"/>
        <w:rPr>
          <w:rFonts w:ascii="Arial" w:cs="Arial" w:hAnsi="Arial"/>
          <w:b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20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rPr>
                <w:rFonts w:ascii="Arial" w:cs="Arial" w:hAnsi="Arial"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3.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r>
              <w:t>Раздел 3. Разработка курсового проекта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pacing w:val="-1"/>
                <w:sz w:val="24"/>
                <w:szCs w:val="24"/>
              </w:rPr>
            </w:pPr>
            <w:r>
              <w:rPr>
                <w:rFonts w:ascii="Arial" w:cs="Arial" w:hAnsi="Arial"/>
                <w:spacing w:val="-1"/>
                <w:sz w:val="24"/>
                <w:szCs w:val="24"/>
              </w:rPr>
              <w:t>Итого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</w:p>
    <w:p>
      <w:pPr>
        <w:spacing w:before="120" w:after="120" w:line="240" w:lineRule="auto"/>
        <w:ind w:left="720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4.Периодичность и формы текущего контроля промежуточной аттестации</w:t>
      </w:r>
    </w:p>
    <w:p>
      <w:pPr>
        <w:ind w:firstLine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Форма промежуточной аттестации по дисциплине</w:t>
      </w:r>
      <w:r>
        <w:rPr>
          <w:rFonts w:ascii="Arial" w:cs="Arial" w:hAnsi="Arial"/>
          <w:sz w:val="24"/>
          <w:szCs w:val="24"/>
        </w:rPr>
        <w:t xml:space="preserve"> – дифференцированный зачет. П</w:t>
      </w:r>
      <w:r>
        <w:rPr>
          <w:rFonts w:ascii="Arial" w:cs="Arial" w:hAnsi="Arial"/>
          <w:bCs/>
          <w:sz w:val="24"/>
          <w:szCs w:val="24"/>
        </w:rPr>
        <w:t xml:space="preserve">роводится в форме </w:t>
      </w:r>
      <w:r>
        <w:rPr>
          <w:rFonts w:ascii="Arial" w:cs="Arial" w:hAnsi="Arial"/>
          <w:bCs/>
          <w:sz w:val="24"/>
          <w:szCs w:val="24"/>
        </w:rPr>
        <w:t>защиты курсового проекта в</w:t>
      </w:r>
      <w:r>
        <w:rPr>
          <w:rFonts w:ascii="Arial" w:cs="Arial" w:hAnsi="Arial"/>
          <w:bCs/>
          <w:sz w:val="24"/>
          <w:szCs w:val="24"/>
        </w:rPr>
        <w:t>о втором семестре.</w:t>
      </w:r>
    </w:p>
    <w:p>
      <w:pPr>
        <w:ind w:firstLine="709"/>
        <w:jc w:val="both"/>
        <w:rPr>
          <w:rFonts w:ascii="Arial" w:cs="Arial" w:hAnsi="Arial"/>
          <w:color w:val="000000"/>
          <w:spacing w:val="-5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Текущий контроль представлен </w:t>
      </w:r>
      <w:r>
        <w:rPr>
          <w:rFonts w:ascii="Arial" w:cs="Arial" w:hAnsi="Arial"/>
          <w:bCs/>
          <w:color w:val="0d0d0d"/>
        </w:rPr>
        <w:t>оценкой выполнения практических заданий, тестовых работ</w:t>
      </w:r>
      <w:r>
        <w:rPr>
          <w:sz w:val="28"/>
          <w:szCs w:val="28"/>
        </w:rPr>
        <w:t>.</w:t>
      </w:r>
      <w:r>
        <w:rPr>
          <w:sz w:val="28"/>
          <w:szCs w:val="28"/>
        </w:rPr>
        <w:br w:type="page"/>
      </w: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cnfStyle w:val="1001000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</w:p>
        </w:tc>
      </w:tr>
      <w:tr>
        <w:trPr/>
        <w:tc>
          <w:tcPr>
            <w:cnfStyle w:val="0010001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3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</w:tr>
      <w:tr>
        <w:trPr/>
        <w:tc>
          <w:tcPr>
            <w:cnfStyle w:val="001000010000"/>
            <w:tcW w:w="7501" w:type="dxa"/>
          </w:tcPr>
          <w:p>
            <w:pPr>
              <w:pStyle w:val="ListParagraph"/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 xml:space="preserve"> </w:t>
            </w:r>
            <w:r>
              <w:rPr>
                <w:rFonts w:ascii="Arial" w:cs="Arial" w:hAnsi="Arial"/>
                <w:b/>
                <w:color w:val="0d0d0d"/>
              </w:rPr>
              <w:t>УСЛОВИЯ РЕАЛИЗАЦИИ УЧЕБНОЙ ДИСЦИПЛИНЫ</w:t>
            </w:r>
          </w:p>
        </w:tc>
        <w:tc>
          <w:tcPr>
            <w:cnfStyle w:val="000100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11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13</w:t>
            </w:r>
          </w:p>
        </w:tc>
      </w:tr>
    </w:tbl>
    <w:p>
      <w:pPr>
        <w:numPr>
          <w:ilvl w:val="0"/>
          <w:numId w:val="3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>ОБЩАЯ ХАРАКТЕРИСТИКА ПРОГРАММЫ УЧЕБНОЙ ДИСЦИПЛИНЫ</w:t>
      </w:r>
    </w:p>
    <w:p>
      <w:pPr>
        <w:spacing w:after="0"/>
        <w:ind w:left="720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«ОП</w:t>
      </w:r>
      <w:r>
        <w:rPr>
          <w:rFonts w:ascii="Arial" w:cs="Arial" w:hAnsi="Arial"/>
          <w:b/>
          <w:color w:val="0d0d0d"/>
          <w:sz w:val="24"/>
          <w:szCs w:val="24"/>
        </w:rPr>
        <w:t>Ц.05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Проектная и исследовательская деятельность </w:t>
      </w:r>
      <w:r>
        <w:rPr>
          <w:rFonts w:ascii="Arial" w:cs="Arial" w:hAnsi="Arial"/>
          <w:b/>
          <w:color w:val="0d0d0d"/>
          <w:sz w:val="24"/>
          <w:szCs w:val="24"/>
        </w:rPr>
        <w:br w:type="textWrapping"/>
      </w:r>
      <w:r>
        <w:rPr>
          <w:rFonts w:ascii="Arial" w:cs="Arial" w:hAnsi="Arial"/>
          <w:b/>
          <w:color w:val="0d0d0d"/>
          <w:sz w:val="24"/>
          <w:szCs w:val="24"/>
        </w:rPr>
        <w:t>в профессиональной сфере»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Учебная дисциплина «ОПЦ. 05</w:t>
      </w:r>
      <w:r>
        <w:rPr>
          <w:rFonts w:ascii="Arial" w:cs="Arial" w:hAnsi="Arial"/>
          <w:color w:val="0d0d0d"/>
          <w:sz w:val="24"/>
          <w:szCs w:val="24"/>
        </w:rPr>
        <w:t xml:space="preserve"> Проектная и исследовательская деятельность в профессиональной сфере» является обязательной частью общепрофессионального цикла примерной образовательной программы в соответствии с ФГОС СПО по специальности </w:t>
      </w:r>
      <w:r>
        <w:rPr>
          <w:rFonts w:ascii="Arial" w:cs="Arial" w:hAnsi="Arial"/>
          <w:color w:val="0d0d0d"/>
          <w:sz w:val="24"/>
          <w:szCs w:val="24"/>
        </w:rPr>
        <w:t>49.02.01 Физическая культура</w:t>
      </w:r>
      <w:r>
        <w:rPr>
          <w:rFonts w:ascii="Arial" w:cs="Arial" w:hAnsi="Arial"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i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cs="Arial" w:hAnsi="Arial"/>
          <w:color w:val="0d0d0d"/>
          <w:sz w:val="24"/>
          <w:szCs w:val="24"/>
        </w:rPr>
        <w:t>ОК</w:t>
      </w:r>
      <w:r>
        <w:rPr>
          <w:rFonts w:ascii="Arial" w:cs="Arial" w:hAnsi="Arial"/>
          <w:color w:val="0d0d0d"/>
          <w:sz w:val="24"/>
          <w:szCs w:val="24"/>
        </w:rPr>
        <w:t xml:space="preserve"> 01; ОК 02; ОК 03; ОК 04</w:t>
      </w:r>
      <w:r>
        <w:rPr>
          <w:rFonts w:ascii="Arial" w:cs="Arial" w:hAnsi="Arial"/>
          <w:i/>
          <w:color w:val="0d0d0d"/>
          <w:sz w:val="24"/>
          <w:szCs w:val="24"/>
        </w:rPr>
        <w:t>.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  <w:lang w:eastAsia="en-US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color w:val="0d0d0d"/>
          <w:sz w:val="24"/>
          <w:szCs w:val="24"/>
        </w:rPr>
        <w:t>обучающимися</w:t>
      </w:r>
      <w:r>
        <w:rPr>
          <w:rFonts w:ascii="Arial" w:cs="Arial" w:hAnsi="Arial"/>
          <w:color w:val="0d0d0d"/>
          <w:sz w:val="24"/>
          <w:szCs w:val="24"/>
        </w:rPr>
        <w:t xml:space="preserve"> осваиваются умения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01"/>
        <w:gridCol w:w="3969"/>
        <w:gridCol w:w="4394"/>
      </w:tblGrid>
      <w:tr>
        <w:trPr>
          <w:trHeight w:val="649"/>
        </w:trPr>
        <w:tc>
          <w:tcPr>
            <w:cnfStyle w:val="101000000000"/>
            <w:tcW w:w="1101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ОК</w:t>
            </w:r>
          </w:p>
        </w:tc>
        <w:tc>
          <w:tcPr>
            <w:cnfStyle w:val="100000000000"/>
            <w:tcW w:w="3969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394" w:type="dxa"/>
          </w:tcPr>
          <w:p>
            <w:pPr>
              <w:spacing w:after="0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01" w:type="dxa"/>
          </w:tcPr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02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03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04</w:t>
            </w:r>
          </w:p>
          <w:p>
            <w:pPr>
              <w:widowControl w:val="off"/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000100000"/>
            <w:tcW w:w="3969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обосновывать актуальность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методы для организации собственного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определять методологический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план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выделяет понятийно-категориальный аппарат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работать с психолого-педагогической, методической, нормативной литературой по проблеме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обобщать и анализировать </w:t>
            </w:r>
            <w:r>
              <w:rPr>
                <w:rFonts w:ascii="Arial" w:cs="Arial" w:hAnsi="Arial"/>
                <w:color w:val="0d0d0d"/>
              </w:rPr>
              <w:t>результаты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оформлять учебно-исследовательскую работу;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использовать приемы защиты результатов исследования.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разрабатывать педагогический проект.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0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оформлять педагогический проект.</w:t>
            </w:r>
          </w:p>
        </w:tc>
        <w:tc>
          <w:tcPr>
            <w:cnfStyle w:val="000000100000"/>
            <w:tcW w:w="4394" w:type="dxa"/>
          </w:tcPr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логику исследования,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структуру и этапы выполнения учебно-исследовательской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 принципы обоснования актуальности темы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характеристику исследовательских методов;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компоненты методологического аппарата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фиксации изученного материала;</w:t>
            </w:r>
          </w:p>
          <w:p>
            <w:pPr>
              <w:pStyle w:val="ListParagraph"/>
              <w:numPr>
                <w:ilvl w:val="0"/>
                <w:numId w:val="4"/>
              </w:numPr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требования к оформлению и представлению результатов работы;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порядок и процедуру защиты дипломного проекта (работы) работы.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теоретические аспекты педагогического проектирования.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структура педагогического проекта.</w:t>
            </w:r>
          </w:p>
          <w:p>
            <w:pPr>
              <w:pStyle w:val="ListParagraph"/>
              <w:numPr>
                <w:ilvl w:val="0"/>
                <w:numId w:val="4"/>
              </w:numPr>
              <w:shd w:val="clear" w:color="auto" w:fill="ffffff"/>
              <w:tabs>
                <w:tab w:val="left" w:pos="361"/>
              </w:tabs>
              <w:spacing w:before="0" w:after="0" w:line="276" w:lineRule="auto"/>
              <w:ind w:left="0" w:firstLine="0"/>
              <w:jc w:val="both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технологию педагогического проектирования.</w:t>
            </w:r>
          </w:p>
        </w:tc>
      </w:tr>
    </w:tbl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24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p>
      <w:pPr>
        <w:spacing w:after="120"/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/>
      </w:tblPr>
      <w:tblGrid>
        <w:gridCol w:w="7064"/>
        <w:gridCol w:w="2521"/>
      </w:tblGrid>
      <w:tr>
        <w:trPr>
          <w:trHeight w:val="490"/>
        </w:trPr>
        <w:tc>
          <w:tcPr>
            <w:cnfStyle w:val="101000000000"/>
            <w:tcW w:w="3685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1315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72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в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т.ч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. в форме практической подготовки</w:t>
            </w:r>
          </w:p>
        </w:tc>
        <w:tc>
          <w:tcPr>
            <w:cnfStyle w:val="000100010000"/>
            <w:tcW w:w="1315" w:type="pct"/>
            <w:shd w:val="clear" w:color="auto" w:fill="auto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58</w:t>
            </w:r>
          </w:p>
        </w:tc>
      </w:tr>
      <w:tr>
        <w:trPr>
          <w:trHeight w:val="336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14</w:t>
            </w:r>
          </w:p>
        </w:tc>
      </w:tr>
      <w:tr>
        <w:trPr>
          <w:trHeight w:val="490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22</w:t>
            </w:r>
          </w:p>
        </w:tc>
      </w:tr>
      <w:tr>
        <w:trPr>
          <w:trHeight w:val="490"/>
        </w:trPr>
        <w:tc>
          <w:tcPr>
            <w:cnfStyle w:val="00100001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Курсовая работа</w:t>
            </w:r>
          </w:p>
        </w:tc>
        <w:tc>
          <w:tcPr>
            <w:cnfStyle w:val="00010001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36</w:t>
            </w:r>
          </w:p>
        </w:tc>
      </w:tr>
      <w:tr>
        <w:trPr>
          <w:trHeight w:val="267"/>
        </w:trPr>
        <w:tc>
          <w:tcPr>
            <w:cnfStyle w:val="0010001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cnfStyle w:val="0001001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-</w:t>
            </w:r>
          </w:p>
        </w:tc>
      </w:tr>
      <w:tr>
        <w:trPr>
          <w:trHeight w:val="331"/>
        </w:trPr>
        <w:tc>
          <w:tcPr>
            <w:cnfStyle w:val="011000000000"/>
            <w:tcW w:w="3685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iCs/>
                <w:color w:val="0d0d0d"/>
                <w:sz w:val="24"/>
                <w:szCs w:val="24"/>
              </w:rPr>
              <w:t>– дифференцированный зачет</w:t>
            </w:r>
          </w:p>
        </w:tc>
        <w:tc>
          <w:tcPr>
            <w:cnfStyle w:val="010100000000"/>
            <w:tcW w:w="1315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d0d0d"/>
                <w:sz w:val="24"/>
                <w:szCs w:val="24"/>
              </w:rPr>
              <w:t>Защита проекта</w:t>
            </w:r>
          </w:p>
        </w:tc>
      </w:tr>
    </w:tbl>
    <w:p>
      <w:pPr>
        <w:rPr>
          <w:rFonts w:ascii="Arial" w:cs="Arial" w:hAnsi="Arial"/>
          <w:b/>
          <w:i/>
          <w:color w:val="0d0d0d"/>
          <w:sz w:val="24"/>
          <w:szCs w:val="24"/>
        </w:rPr>
        <w:sectPr>
          <w:footerReference w:type="default" r:id="rId15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p>
      <w:pPr>
        <w:ind w:firstLine="709"/>
        <w:rPr>
          <w:rFonts w:ascii="Arial" w:cs="Arial" w:hAnsi="Arial"/>
          <w:color w:val="0d0d0d"/>
          <w:sz w:val="24"/>
          <w:szCs w:val="24"/>
        </w:rPr>
      </w:pPr>
    </w:p>
    <w:tbl>
      <w:tblPr>
        <w:tblW w:w="5068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531"/>
        <w:gridCol w:w="7625"/>
        <w:gridCol w:w="1861"/>
        <w:gridCol w:w="2130"/>
      </w:tblGrid>
      <w:tr>
        <w:trPr>
          <w:trHeight w:val="20"/>
        </w:trPr>
        <w:tc>
          <w:tcPr>
            <w:cnfStyle w:val="101000000000"/>
            <w:tcW w:w="73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86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Содержание и формы организации деятельности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ч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.</w:t>
            </w:r>
          </w:p>
        </w:tc>
        <w:tc>
          <w:tcPr>
            <w:cnfStyle w:val="100100000000"/>
            <w:tcW w:w="749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1000100000"/>
            <w:tcW w:w="73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286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64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1000010000"/>
            <w:tcW w:w="3603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Раздел 1. Теоретические основы исследовательской деятельности</w:t>
            </w:r>
          </w:p>
        </w:tc>
        <w:tc>
          <w:tcPr>
            <w:cnfStyle w:val="000010010000"/>
            <w:tcW w:w="64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20</w:t>
            </w:r>
            <w:r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  <w:t>/10</w:t>
            </w:r>
          </w:p>
        </w:tc>
        <w:tc>
          <w:tcPr>
            <w:cnfStyle w:val="00010001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1.1. Методологические и методические основы исследовательской деятельности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4/1</w:t>
            </w:r>
          </w:p>
        </w:tc>
        <w:tc>
          <w:tcPr>
            <w:cnfStyle w:val="00010010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Наука и научное исследование Понятие о науке как специфической сфере человеческой деятельности, направленной на получение, обоснование и систематизацию объективных знаний о мире. Понятие о научном исследовании как особой форме процесса познания. Классификации научных исследований по целевому назначению (фундаментальные, прикладные, разработки, поисковые), по срокам выполнения (долгосрочные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раткосрочные, экспресс-исследования). Междисциплинарный характер современной науки. Взаимосвязь науки и практики.</w:t>
            </w:r>
          </w:p>
        </w:tc>
        <w:tc>
          <w:tcPr>
            <w:cnfStyle w:val="000001010000"/>
            <w:tcW w:w="648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3</w:t>
            </w:r>
          </w:p>
        </w:tc>
        <w:tc>
          <w:tcPr>
            <w:cnfStyle w:val="000100010000"/>
            <w:tcW w:w="74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Методология исследования Понятие о методологии научного знания как системе принципов, способов организации и построения теоретической и практической деятельности. Компоненты методологического знания: общетеоретические законы и закономерности, более частные законы, принципы и методы исследования. Методологический аппарат исследования: объект, предмет, цель, гипотеза, задачи (общее представление).</w:t>
            </w:r>
          </w:p>
        </w:tc>
        <w:tc>
          <w:tcPr>
            <w:cnfStyle w:val="000001100000"/>
            <w:tcW w:w="648" w:type="pct"/>
            <w:vMerge w:val="continue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296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Методика исследования Методика исследования как совокупность приемов и способов исследования, опре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деляющих порядок их применения и интерпретацию полученных с их помощью результатов. Понятие о методах исследования как совокупности приемов и операций, направленных на изучение проблем. Система методов исследования.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Характеристика исследовательских методов.</w:t>
            </w:r>
          </w:p>
        </w:tc>
        <w:tc>
          <w:tcPr>
            <w:cnfStyle w:val="000001010000"/>
            <w:tcW w:w="648" w:type="pct"/>
            <w:vMerge w:val="continue"/>
            <w:vAlign w:val="center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37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49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699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shd w:val="clear" w:color="auto" w:fill="ffffff"/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«Определение методологического аппарата исследования. Логическая схема взаимосвязи методологического аппарата исследования»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49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375"/>
        </w:trPr>
        <w:tc>
          <w:tcPr>
            <w:cnfStyle w:val="001000100000"/>
            <w:tcW w:w="737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1.2. Технология исследовательской деятельности</w:t>
            </w:r>
          </w:p>
        </w:tc>
        <w:tc>
          <w:tcPr>
            <w:cnfStyle w:val="00001010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6/4</w:t>
            </w:r>
          </w:p>
        </w:tc>
        <w:tc>
          <w:tcPr>
            <w:cnfStyle w:val="000100100000"/>
            <w:tcW w:w="74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>
        <w:trPr>
          <w:trHeight w:val="1738"/>
        </w:trPr>
        <w:tc>
          <w:tcPr>
            <w:cnfStyle w:val="001000010000"/>
            <w:tcW w:w="737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Алгоритм исследовательской работы: определение проблемы, предмета и объекта исследования; сбор и изучение информации по проблеме, уточнение основных понятий, определение темы исследования; формулировка цели, задач и гипотезы исследования, выбор соответствующих методов исследования; подготовка и проведение исследовательской части работы (в том числе эмпирической); обработка результатов исследования; интерпретация полученных данных; формулирование выводов; оформление работы;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защита.</w:t>
            </w:r>
          </w:p>
        </w:tc>
        <w:tc>
          <w:tcPr>
            <w:cnfStyle w:val="000001010000"/>
            <w:tcW w:w="648" w:type="pct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49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ind w:left="37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Эксперимент как общенаучный метод исследования. Виды экспериментов. Основные этапы проведения эксперимента, содержание работы на каждом этапе.</w:t>
            </w:r>
          </w:p>
        </w:tc>
        <w:tc>
          <w:tcPr>
            <w:cnfStyle w:val="000001100000"/>
            <w:tcW w:w="648" w:type="pct"/>
            <w:vMerge w:val="continue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2.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«Технология сбора и анализа информации по актуальной теме исследования» 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3.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Формулировка объекта, предмета, цели, гипотезы и составление предварительного плана исследования».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4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 «Сбор и первичная систематизация эмпирического материала»</w:t>
            </w:r>
          </w:p>
        </w:tc>
        <w:tc>
          <w:tcPr>
            <w:cnfStyle w:val="000001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5.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Интерпретация, оформление, представление результатов и формулирование выводов исследования».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49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1.3. Учебно-исследовательская деятельность студентов</w:t>
            </w:r>
          </w:p>
        </w:tc>
        <w:tc>
          <w:tcPr>
            <w:cnfStyle w:val="00001010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9/5</w:t>
            </w:r>
          </w:p>
        </w:tc>
        <w:tc>
          <w:tcPr>
            <w:cnfStyle w:val="000100100000"/>
            <w:tcW w:w="74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>
        <w:trPr/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Особенности учебно-исследовательской деятельности Сравнительная характеристика научно-исследовательской и учебно-исследовательской деятельности. Особенности научного стиля изложения.</w:t>
            </w:r>
          </w:p>
        </w:tc>
        <w:tc>
          <w:tcPr>
            <w:cnfStyle w:val="000001010000"/>
            <w:tcW w:w="648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Виды учебно-исследовательской деятельности студентов. Основные виды учебно-исследовательской деятельности студентов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колледжа: курсовая работа и дипломный проект (работа), их сходство и различие.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Содержательное разнообразие курсовых работ (реферативного, практического, опытно-экспериментального характера), дипломных проектов (работ) (опытно-практического, опытно-экспериментального, теоретиче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softHyphen/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ского, проектного характера). </w:t>
            </w:r>
          </w:p>
        </w:tc>
        <w:tc>
          <w:tcPr>
            <w:cnfStyle w:val="000001100000"/>
            <w:tcW w:w="648" w:type="pct"/>
            <w:vMerge w:val="continue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Требования к курсовой работе и дипломному проекту (работе). Структура.  Методологический аппарат. Теоретические и эмпирические методы исследования в курсовой работе и дипломного проекта (работы). Рубрикация как выражение композиционной структуры текста. Требования к оформлению структурных частей курсовой работы и дипломного проекта (работы).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cnfStyle w:val="000001010000"/>
            <w:tcW w:w="648" w:type="pct"/>
            <w:vMerge w:val="continue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Защита курсовой работы и дипломного проекта (работы). Возможные варианты защиты курсовой работы. Критерии оценки курсовой работы. Отзыв научного руководителя.</w:t>
            </w:r>
          </w:p>
          <w:p>
            <w:pPr>
              <w:shd w:val="clear" w:color="auto" w:fill="ffffff"/>
              <w:spacing w:after="0" w:line="240" w:lineRule="auto"/>
              <w:ind w:left="37"/>
              <w:contextualSpacing w:val="on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Дипломный проект (работа) как вид государственной итоговой аттестации выпускников. Цель защиты дипломного проекта (работы). Особенности процедуры предварительной защиты результатов дипломного проекта (работы). Допуск студента к защите дипломного проекта (работы): сроки сдачи работы, составление отзыва научного руководителя, рецензии. Подготовка дипломного проекта (работы) к защите: составление текста выступления студента; подготовка ответов на замечания и пожелания, высказанные в отзыве и рецензии; подготовка раздаточного материала, презентации. Процедура защиты  дипломного проекта (работы). Критерии оценки дипломного проекта (работы).</w:t>
            </w:r>
          </w:p>
        </w:tc>
        <w:tc>
          <w:tcPr>
            <w:cnfStyle w:val="000001100000"/>
            <w:tcW w:w="648" w:type="pct"/>
            <w:vMerge w:val="continue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33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В том числе практических занятий и лабораторных работ 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5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6.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Обоснование актуальности темы исследования.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7.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библиографического описания, составление тезисов и запись цитаты»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8.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«Составление программы опытно-экспериментальной работы при организации исследования по теме»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9.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«Наблюдение и анализ видеозаписи процедуры защиты дипломного проекта»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53"/>
        </w:trPr>
        <w:tc>
          <w:tcPr>
            <w:cnfStyle w:val="001000100000"/>
            <w:tcW w:w="3603" w:type="pct"/>
            <w:gridSpan w:val="2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Раздел 2. Теоретические основы проектной деятельности</w:t>
            </w:r>
          </w:p>
        </w:tc>
        <w:tc>
          <w:tcPr>
            <w:cnfStyle w:val="000010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16/12</w:t>
            </w:r>
          </w:p>
        </w:tc>
        <w:tc>
          <w:tcPr>
            <w:cnfStyle w:val="00010010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restart"/>
          </w:tcPr>
          <w:p>
            <w:pPr>
              <w:spacing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2.1. Проектная деятельность: понятие, основные характеристики проектной деятельности, классификация проектов</w:t>
            </w:r>
          </w:p>
        </w:tc>
        <w:tc>
          <w:tcPr>
            <w:cnfStyle w:val="00001001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4/2</w:t>
            </w:r>
          </w:p>
        </w:tc>
        <w:tc>
          <w:tcPr>
            <w:cnfStyle w:val="000100010000"/>
            <w:tcW w:w="74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Понятия проектной деятельности и педагогического проектирования. Различие проектной и исследовательской деятельности. Принципы проектной деятельности. Общие признаки, отличающие проект от других видов деятельности: 1) направленность на достижение конкретных целей с определенным началом и концом; 2) ограниченная протяженность по срокам, стоимости и ресурсам; 3) неповторимость и уникальность (в определенной степени); 4) комплексность — наличие большого числа факторов, прямо или косвенно влияющих на прогресс и результаты проекта; 5) правовое и организационное обеспечение — создание специфической организационной структуры на время реализации проекта. Проектная культура педагога.</w:t>
            </w:r>
          </w:p>
        </w:tc>
        <w:tc>
          <w:tcPr>
            <w:cnfStyle w:val="000001100000"/>
            <w:tcW w:w="648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37" w:firstLine="0"/>
              <w:contextualSpacing w:val="on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Виды педагогических проектов. П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 срокам реализации: краткосрочные (до одной недели); среднесрочные (от недели до месяца); долгосрочные (от одного месяца и больше); по доминирующей деятельности:  исследовательские; творческие; практико-ориентированные;  информационные;  приключенческие;  игровые;  телекоммуникационные; по количеству участников проекта: индивидуальные;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групповые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.У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чебные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проекты. Досуговые проекты. Проекты в системе профессиональной подготовки. Социально-педагогические проекты. Проекты личностного становления. Сетевые проекты. Международные проекты</w:t>
            </w:r>
          </w:p>
        </w:tc>
        <w:tc>
          <w:tcPr>
            <w:cnfStyle w:val="000001010000"/>
            <w:tcW w:w="648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49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10.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Виды педагогических проектов в практике начального общего образования.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49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122"/>
        </w:trPr>
        <w:tc>
          <w:tcPr>
            <w:cnfStyle w:val="001000100000"/>
            <w:tcW w:w="737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Тема 2.2. Организация проектной деятельности: этапы и содержание деятельности</w:t>
            </w:r>
          </w:p>
        </w:tc>
        <w:tc>
          <w:tcPr>
            <w:cnfStyle w:val="000010100000"/>
            <w:tcW w:w="286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Содержание</w:t>
            </w:r>
          </w:p>
        </w:tc>
        <w:tc>
          <w:tcPr>
            <w:cnfStyle w:val="000001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13/10</w:t>
            </w:r>
          </w:p>
        </w:tc>
        <w:tc>
          <w:tcPr>
            <w:cnfStyle w:val="000100100000"/>
            <w:tcW w:w="749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01; ОК 02; ОК 03; ОК 04</w:t>
            </w: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Организация проектной деятельности.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Этапы проектирования.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Предпроектный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этап. Выбор формата проекта. Логика организации педагогического проекта. Этап реализации проекта, рефлексивный этап,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послепроектный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этап. </w:t>
            </w: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 xml:space="preserve">Технология разработки проектов.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Педагогический проект как документ: основные требования к составлению. Принципы разработки педагогического проекта. Алгоритм педагогического проектирования. Сбор исходных данных и анализ существующего состояния объекта. Выявление потребности в изменениях (в проекте).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Определение целей, задач и ожидаемых результатов. Моделирование объекта в соответствии с поставленными целями. Определение ресурсов и технологий реализации проекта. Результаты проектной деятельности. Оценка результатов проектной деятельности. Требования к написанию проекта. Критерии результативности проекта. Особенности написания курсовых работ и ВКР проектного характера.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3</w:t>
            </w:r>
          </w:p>
        </w:tc>
        <w:tc>
          <w:tcPr>
            <w:cnfStyle w:val="000100010000"/>
            <w:tcW w:w="749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91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01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10</w:t>
            </w:r>
          </w:p>
        </w:tc>
        <w:tc>
          <w:tcPr>
            <w:cnfStyle w:val="00010010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11.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проектов личностного и профессионального роста»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12.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«Разработка учебных проектов»</w:t>
            </w:r>
          </w:p>
        </w:tc>
        <w:tc>
          <w:tcPr>
            <w:cnfStyle w:val="000001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13.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Разработка социально-педагогических и досуговых проектов»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67"/>
        </w:trPr>
        <w:tc>
          <w:tcPr>
            <w:cnfStyle w:val="001000100000"/>
            <w:tcW w:w="737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100000"/>
            <w:tcW w:w="286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Практическое занятие 14. «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Практика оценки результатов проектной деятельности»</w:t>
            </w:r>
          </w:p>
        </w:tc>
        <w:tc>
          <w:tcPr>
            <w:cnfStyle w:val="00000110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506"/>
        </w:trPr>
        <w:tc>
          <w:tcPr>
            <w:cnfStyle w:val="001000010000"/>
            <w:tcW w:w="737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</w:p>
        </w:tc>
        <w:tc>
          <w:tcPr>
            <w:cnfStyle w:val="000010010000"/>
            <w:tcW w:w="2866" w:type="pct"/>
            <w:tcBorders>
              <w:bottom w:val="single" w:color="auto" w:sz="4" w:space="0"/>
            </w:tcBorders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Практическое занятие 15-16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«Организационно-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деятельностная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игра по педагогическому проектированию»</w:t>
            </w:r>
          </w:p>
        </w:tc>
        <w:tc>
          <w:tcPr>
            <w:cnfStyle w:val="000001010000"/>
            <w:tcW w:w="648" w:type="pct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749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100000"/>
            <w:tcW w:w="360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Курсовой проект (работа)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ff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Обучающийся имеет право выбора: выполнять курсовой проект по тематике данного или иного профессионального модул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я(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ей) или общепрофессиональной дисциплине(-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ам</w:t>
            </w: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).</w:t>
            </w:r>
          </w:p>
        </w:tc>
        <w:tc>
          <w:tcPr>
            <w:cnfStyle w:val="000010100000"/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cnfStyle w:val="00010010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</w:rPr>
              <w:t xml:space="preserve"> 01, ОК 02, ОК 09</w:t>
            </w:r>
          </w:p>
        </w:tc>
      </w:tr>
      <w:tr>
        <w:trPr>
          <w:trHeight w:val="236"/>
        </w:trPr>
        <w:tc>
          <w:tcPr>
            <w:cnfStyle w:val="001000010000"/>
            <w:tcW w:w="3603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– дифференцированный зачет</w:t>
            </w:r>
          </w:p>
        </w:tc>
        <w:tc>
          <w:tcPr>
            <w:cnfStyle w:val="00001001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  <w:tc>
          <w:tcPr>
            <w:cnfStyle w:val="00010001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d0d0d"/>
                <w:sz w:val="24"/>
                <w:szCs w:val="24"/>
              </w:rPr>
            </w:pPr>
          </w:p>
        </w:tc>
      </w:tr>
      <w:tr>
        <w:trPr>
          <w:trHeight w:val="70"/>
        </w:trPr>
        <w:tc>
          <w:tcPr>
            <w:cnfStyle w:val="011000000000"/>
            <w:tcW w:w="3603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color w:val="0d0d0d"/>
                <w:sz w:val="24"/>
                <w:szCs w:val="24"/>
              </w:rPr>
              <w:t>Всего:</w:t>
            </w:r>
          </w:p>
        </w:tc>
        <w:tc>
          <w:tcPr>
            <w:cnfStyle w:val="010010000000"/>
            <w:tcW w:w="648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72</w:t>
            </w:r>
          </w:p>
        </w:tc>
        <w:tc>
          <w:tcPr>
            <w:cnfStyle w:val="010100000000"/>
            <w:tcW w:w="749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color w:val="0d0d0d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bookmarkStart w:id="2" w:name="_GoBack"/>
      <w:bookmarkEnd w:id="2"/>
    </w:p>
    <w:p>
      <w:pPr>
        <w:jc w:val="center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Теоретических и методических основ дошкольного образования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r>
        <w:rPr>
          <w:rFonts w:ascii="Arial" w:cs="Arial" w:hAnsi="Arial"/>
          <w:bCs/>
          <w:color w:val="0d0d0d"/>
          <w:sz w:val="24"/>
          <w:szCs w:val="24"/>
        </w:rPr>
        <w:t>выбирается не менее одного издания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 электронные издания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Афанасьев, В. В.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В. Афанасьев, О. В. </w:t>
      </w:r>
      <w:r>
        <w:rPr>
          <w:rFonts w:ascii="Arial" w:cs="Arial" w:hAnsi="Arial"/>
          <w:bCs/>
          <w:color w:val="0d0d0d"/>
          <w:sz w:val="24"/>
          <w:szCs w:val="24"/>
        </w:rPr>
        <w:t>Грибкова</w:t>
      </w:r>
      <w:r>
        <w:rPr>
          <w:rFonts w:ascii="Arial" w:cs="Arial" w:hAnsi="Arial"/>
          <w:bCs/>
          <w:color w:val="0d0d0d"/>
          <w:sz w:val="24"/>
          <w:szCs w:val="24"/>
        </w:rPr>
        <w:t>, Л. И. </w:t>
      </w:r>
      <w:r>
        <w:rPr>
          <w:rFonts w:ascii="Arial" w:cs="Arial" w:hAnsi="Arial"/>
          <w:bCs/>
          <w:color w:val="0d0d0d"/>
          <w:sz w:val="24"/>
          <w:szCs w:val="24"/>
        </w:rPr>
        <w:t>Уколова</w:t>
      </w:r>
      <w:r>
        <w:rPr>
          <w:rFonts w:ascii="Arial" w:cs="Arial" w:hAnsi="Arial"/>
          <w:bCs/>
          <w:color w:val="0d0d0d"/>
          <w:sz w:val="24"/>
          <w:szCs w:val="24"/>
        </w:rPr>
        <w:t>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154 с. — (Профессиональное образование). — ISBN 978-5-534-10342-7.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https://urait.ru/bcode/495277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>, Л. В.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В. </w:t>
      </w:r>
      <w:r>
        <w:rPr>
          <w:rFonts w:ascii="Arial" w:cs="Arial" w:hAnsi="Arial"/>
          <w:bCs/>
          <w:color w:val="0d0d0d"/>
          <w:sz w:val="24"/>
          <w:szCs w:val="24"/>
        </w:rPr>
        <w:t>Байбородова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, А. П. Чернявская.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221 с. — (Профессиональное образование). — ISBN 978-5-534-10316-8.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https://urait.ru/bcode/495278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Байкова</w:t>
      </w:r>
      <w:r>
        <w:rPr>
          <w:rFonts w:ascii="Arial" w:cs="Arial" w:hAnsi="Arial"/>
          <w:bCs/>
          <w:color w:val="0d0d0d"/>
          <w:sz w:val="24"/>
          <w:szCs w:val="24"/>
        </w:rPr>
        <w:t>, Л. А.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Л. А. </w:t>
      </w:r>
      <w:r>
        <w:rPr>
          <w:rFonts w:ascii="Arial" w:cs="Arial" w:hAnsi="Arial"/>
          <w:bCs/>
          <w:color w:val="0d0d0d"/>
          <w:sz w:val="24"/>
          <w:szCs w:val="24"/>
        </w:rPr>
        <w:t>Байкова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122 с. — (Профессиональное образование). — ISBN 978-5-534-12527-6.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https://urait.ru/bcode/495558 (дата обращения: 22.06.2022).</w:t>
      </w:r>
    </w:p>
    <w:p>
      <w:pPr>
        <w:numPr>
          <w:ilvl w:val="0"/>
          <w:numId w:val="9"/>
        </w:numPr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Белова, Ю. В. Основы педагогического мастерства и развития профессиональной компетентности преподавателя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учебно-методическое пособие / Ю. В. Белова. — Саратов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Вузовское образование, 2018. — 123 c. — ISBN 978-5-4487-0139-9.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r>
        <w:rPr>
          <w:rFonts w:ascii="Arial" w:cs="Arial" w:hAnsi="Arial"/>
          <w:bCs/>
          <w:color w:val="0d0d0d"/>
          <w:sz w:val="24"/>
          <w:szCs w:val="24"/>
        </w:rPr>
        <w:t>PROFобразование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 [сайт]. — URL: https://profspo.ru/books/72352    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>, А. В.  Основы учебно-исследовательской деятельности в педагогике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А. В. </w:t>
      </w:r>
      <w:r>
        <w:rPr>
          <w:rFonts w:ascii="Arial" w:cs="Arial" w:hAnsi="Arial"/>
          <w:bCs/>
          <w:color w:val="0d0d0d"/>
          <w:sz w:val="24"/>
          <w:szCs w:val="24"/>
        </w:rPr>
        <w:t>Коржуев</w:t>
      </w:r>
      <w:r>
        <w:rPr>
          <w:rFonts w:ascii="Arial" w:cs="Arial" w:hAnsi="Arial"/>
          <w:bCs/>
          <w:color w:val="0d0d0d"/>
          <w:sz w:val="24"/>
          <w:szCs w:val="24"/>
        </w:rPr>
        <w:t>, Н. Н. Антонова.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177 с. — (Профессиональное образование). — ISBN 978-5-534-11374-7.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https://urait.ru/bcode/495245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Куклина, Е. Н.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Е. Н. Куклина, М. А. </w:t>
      </w:r>
      <w:r>
        <w:rPr>
          <w:rFonts w:ascii="Arial" w:cs="Arial" w:hAnsi="Arial"/>
          <w:bCs/>
          <w:color w:val="0d0d0d"/>
          <w:sz w:val="24"/>
          <w:szCs w:val="24"/>
        </w:rPr>
        <w:t>Мазниченко</w:t>
      </w:r>
      <w:r>
        <w:rPr>
          <w:rFonts w:ascii="Arial" w:cs="Arial" w:hAnsi="Arial"/>
          <w:bCs/>
          <w:color w:val="0d0d0d"/>
          <w:sz w:val="24"/>
          <w:szCs w:val="24"/>
        </w:rPr>
        <w:t>, И. А. </w:t>
      </w:r>
      <w:r>
        <w:rPr>
          <w:rFonts w:ascii="Arial" w:cs="Arial" w:hAnsi="Arial"/>
          <w:bCs/>
          <w:color w:val="0d0d0d"/>
          <w:sz w:val="24"/>
          <w:szCs w:val="24"/>
        </w:rPr>
        <w:t>Мушкина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235 с. — (Профессиональное образование). — ISBN 978-5-534-08818-2.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https://urait.ru/bcode/491765 (дата обращения: 22.06.2022).</w:t>
      </w:r>
    </w:p>
    <w:p>
      <w:pPr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Образцов, П. И.  Основы учебно-исследовательской деятельности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П. И. Образцов.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156 с. — (Профессиональное образование). — ISBN 978-5-534-10315-1.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https://urait.ru/bcode/495279 (дата обращения: 22.06.2022).</w:t>
      </w: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3.2.2. Дополнительные источники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Российский общеобразовательный портал. (Режим доступа):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URL: http://</w:t>
      </w:r>
      <w:r>
        <w:fldChar w:fldCharType="begin"/>
      </w:r>
      <w:r>
        <w:instrText xml:space="preserve">HYPERLINK "http://www.pedsovet.org"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www.pedsovet.org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.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"http://www.school.edu.ru"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www.school.edu.ru</w:t>
      </w:r>
      <w:r>
        <w:fldChar w:fldCharType="end"/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Российский общеобразовательный портал: (Режим доступа): URL: //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fldChar w:fldCharType="begin"/>
      </w:r>
      <w:r>
        <w:instrText xml:space="preserve">HYPERLINK "http://www.edu-all.ru"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www.edu-all.ru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; </w:t>
      </w:r>
    </w:p>
    <w:p>
      <w:pPr>
        <w:numPr>
          <w:ilvl w:val="0"/>
          <w:numId w:val="10"/>
        </w:numPr>
        <w:tabs>
          <w:tab w:val="left" w:pos="880"/>
        </w:tabs>
        <w:spacing w:after="0"/>
        <w:ind w:left="0"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Педагогическая библиотека: (Режим доступа): URL: </w:t>
      </w:r>
      <w:r>
        <w:rPr>
          <w:rFonts w:ascii="Arial" w:cs="Arial" w:hAnsi="Arial"/>
          <w:color w:val="0d0d0d"/>
          <w:sz w:val="24"/>
          <w:szCs w:val="24"/>
        </w:rPr>
        <w:t>http</w:t>
      </w:r>
      <w:r>
        <w:rPr>
          <w:rFonts w:ascii="Arial" w:cs="Arial" w:hAnsi="Arial"/>
          <w:color w:val="0d0d0d"/>
          <w:sz w:val="24"/>
          <w:szCs w:val="24"/>
        </w:rPr>
        <w:t xml:space="preserve"> // </w:t>
      </w:r>
      <w:r>
        <w:fldChar w:fldCharType="begin"/>
      </w:r>
      <w:r>
        <w:instrText xml:space="preserve">HYPERLINK "http://www.pedlib.ru" </w:instrText>
      </w:r>
      <w:r>
        <w:fldChar w:fldCharType="separate"/>
      </w:r>
      <w:r>
        <w:rPr>
          <w:rFonts w:ascii="Arial" w:cs="Arial" w:hAnsi="Arial"/>
          <w:color w:val="0d0d0d"/>
          <w:sz w:val="24"/>
          <w:szCs w:val="24"/>
        </w:rPr>
        <w:t>www.pedlib.ru</w:t>
      </w:r>
      <w:r>
        <w:fldChar w:fldCharType="end"/>
      </w:r>
      <w:r>
        <w:rPr>
          <w:rFonts w:ascii="Arial" w:cs="Arial" w:hAnsi="Arial"/>
          <w:color w:val="0d0d0d"/>
          <w:sz w:val="24"/>
          <w:szCs w:val="24"/>
        </w:rPr>
        <w:t xml:space="preserve">  </w:t>
      </w:r>
    </w:p>
    <w:p>
      <w:pPr>
        <w:spacing w:after="0"/>
        <w:ind w:firstLine="709"/>
        <w:contextualSpacing w:val="on"/>
        <w:jc w:val="both"/>
        <w:rPr>
          <w:rFonts w:ascii="Arial" w:cs="Arial" w:hAnsi="Arial"/>
          <w:b/>
          <w:bCs/>
          <w:i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354"/>
        <w:gridCol w:w="3851"/>
        <w:gridCol w:w="2378"/>
      </w:tblGrid>
      <w:tr>
        <w:trPr/>
        <w:tc>
          <w:tcPr>
            <w:cnfStyle w:val="101000000000"/>
            <w:tcW w:w="1750" w:type="pct"/>
          </w:tcPr>
          <w:p>
            <w:pPr>
              <w:spacing w:after="0"/>
              <w:jc w:val="center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009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241" w:type="pct"/>
          </w:tcPr>
          <w:p>
            <w:pPr>
              <w:jc w:val="center"/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знаний, формируемых в рамках дисциплины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логику исследования, структуру и этапы выполнения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 принципы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характеристику исследовательских методов;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компоненты методологического аппарата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виды учебно-исследовательской деятельности студентов колледжа;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фиксации изученного материала;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понятие о педагогическом эксперименте, виды и этапы проведения эксперимента;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способы интерпретации результатов и формулирования выводов по теме исследования;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основные формы представления данных: описание, таблицы, схемы, графики, диаграммы и т.п.; 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требования к оформлению и представлению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результатов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порядок и процедуру защиты дипломного проекта (работы).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теоретические аспекты педагогического проектирования.</w:t>
            </w:r>
          </w:p>
          <w:p>
            <w:pPr>
              <w:numPr>
                <w:ilvl w:val="0"/>
                <w:numId w:val="12"/>
              </w:numPr>
              <w:shd w:val="clear" w:color="auto" w:fill="ffffff"/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структура педагогического проекта.</w:t>
            </w:r>
          </w:p>
          <w:p>
            <w:pPr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технологию педагогического проектирования.</w:t>
            </w:r>
          </w:p>
        </w:tc>
        <w:tc>
          <w:tcPr>
            <w:cnfStyle w:val="000010100000"/>
            <w:tcW w:w="2009" w:type="pct"/>
          </w:tcPr>
          <w:p>
            <w:pPr>
              <w:pStyle w:val="ListParagraph"/>
              <w:numPr>
                <w:ilvl w:val="0"/>
                <w:numId w:val="12"/>
              </w:numPr>
              <w:spacing w:before="0" w:after="0" w:line="276" w:lineRule="auto"/>
              <w:ind w:left="0" w:firstLine="0"/>
              <w:contextualSpacing w:val="on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перечисляет и характеризует этапы выполнения учебно-исследовательской работы в соответствии с логикой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способы обоснования актуальности темы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сущность понятия «методы психолого-педагогического исследования»;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правильно перечисляет компоненты методологического аппарата исследования, принципы их формулирования,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верно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указывает его логическую связь с планом учебно-исследовательской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осиновым видам исследовательской деятельности студентов;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перечисляет способы фиксации материала в соответствии с правилами и требованиями при работе с литературой по проблеме исследования; 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называет правила изложения результатов по проблеме исследования;</w:t>
            </w:r>
          </w:p>
          <w:p>
            <w:pPr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знает основные формы представления данных и их оформление в соответствии с требованиями;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требования к оформлению и представлению результатов работы;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характеризует порядок и процедуру защиты дипломного проекта (работы) в соответствии с требованиями. 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сущность педагогического проектирования.</w:t>
            </w:r>
          </w:p>
          <w:p>
            <w:pPr>
              <w:widowControl w:val="off"/>
              <w:numPr>
                <w:ilvl w:val="0"/>
                <w:numId w:val="12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перечисляет этапы и технологию педагогического проекта.</w:t>
            </w:r>
          </w:p>
        </w:tc>
        <w:tc>
          <w:tcPr>
            <w:cnfStyle w:val="0001001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тестовых заданий;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устного опроса;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анализ и оценка решения письменного опроса.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750" w:type="pct"/>
          </w:tcPr>
          <w:p>
            <w:pPr>
              <w:spacing w:after="0"/>
              <w:rPr>
                <w:rFonts w:ascii="Arial" w:cs="Arial" w:hAnsi="Arial"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i/>
                <w:color w:val="0d0d0d"/>
                <w:sz w:val="24"/>
                <w:szCs w:val="24"/>
              </w:rPr>
              <w:t>Перечень умений, формируемых в рамках дисциплины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анализировать исследовательские работы с точки зрения логики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обосновывать актуальность темы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методы для организации собственного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методологический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план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выделяет понятийно-категориальный аппарат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работать с психолого-педагогической, методической, нормативной литературой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по проблеме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элементы педагогического эксперимента в собственном исследовании;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обобщать и анализировать результаты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оформлять учебно-исследовательскую работу; 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приемы защиты результатов исследования.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разрабатывать педагогический проект.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оформлять педагогический проект.</w:t>
            </w:r>
          </w:p>
        </w:tc>
        <w:tc>
          <w:tcPr>
            <w:cnfStyle w:val="010010000000"/>
            <w:tcW w:w="2009" w:type="pct"/>
          </w:tcPr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проводит анализ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исследовательских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работы с точки зрения логики исследования в зависимости от вида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обосновывает актуальность темы в соответствии принятыми способами и принципами обоснования актуальности;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методы для организации исследования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 соответствии с темой и видом учебно-исследовательской работы; 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формулирует методологический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правильно разрабатывает план учебно-исследовательской работы в соответствии с методологическим аппаратом и видом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точно определяет понятийно-категориальный аппарат исследования в соответствии с темой учебно-исследовательской работы;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правильно использует способы фиксации материал 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при работе с литературой по проблеме исследования в соответствии с требованиями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, нормами, правилами;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составлять программу опытно-экспериментальной работы при организации исследования по теме в соответствии с принятой структурой;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делает выводы на основе качественной и количественной обработки материалов исследования;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и представляет полученные в ходе исследования данные в соответствии с требованиями;</w:t>
            </w:r>
          </w:p>
          <w:p>
            <w:pPr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оформляет свою работу в соответствии с требованиями;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приемы защиты результатов исследования в соответствии с принятыми требованиями.</w:t>
            </w:r>
          </w:p>
          <w:p>
            <w:pPr>
              <w:widowControl w:val="off"/>
              <w:numPr>
                <w:ilvl w:val="0"/>
                <w:numId w:val="11"/>
              </w:numPr>
              <w:spacing w:after="0"/>
              <w:ind w:left="0" w:firstLine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определять этапы педагогического проекта в соответствии с поставленными целями и задачами.</w:t>
            </w:r>
          </w:p>
          <w:p>
            <w:pPr>
              <w:rPr>
                <w:rFonts w:ascii="Arial" w:cs="Arial" w:hAnsi="Arial"/>
                <w:bCs/>
                <w:i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демонстрирует умение оформлять педагогический проект в соответствии с заданной структурой.</w:t>
            </w:r>
          </w:p>
        </w:tc>
        <w:tc>
          <w:tcPr>
            <w:cnfStyle w:val="010100000000"/>
            <w:tcW w:w="1241" w:type="pct"/>
          </w:tcPr>
          <w:p>
            <w:pPr>
              <w:pStyle w:val="ListParagraph"/>
              <w:numPr>
                <w:ilvl w:val="0"/>
                <w:numId w:val="1"/>
              </w:numPr>
              <w:spacing w:before="0" w:after="0" w:line="276" w:lineRule="auto"/>
              <w:ind w:left="0" w:firstLine="0"/>
              <w:rPr>
                <w:rFonts w:ascii="Arial" w:cs="Arial" w:hAnsi="Arial"/>
                <w:bCs/>
                <w:color w:val="0d0d0d"/>
              </w:rPr>
            </w:pPr>
            <w:r>
              <w:rPr>
                <w:rFonts w:ascii="Arial" w:cs="Arial" w:hAnsi="Arial"/>
                <w:bCs/>
                <w:color w:val="0d0d0d"/>
              </w:rPr>
              <w:t>оценка выполнения практических заданий (работ).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pStyle w:val="Subtitle"/>
        <w:jc w:val="right"/>
        <w:rPr>
          <w:rFonts w:ascii="Arial" w:cs="Arial" w:hAnsi="Arial"/>
          <w:b/>
          <w:bCs/>
        </w:rPr>
      </w:pPr>
    </w:p>
    <w:p>
      <w:pPr>
        <w:rPr>
          <w:rFonts w:ascii="Arial" w:cs="Arial" w:hAnsi="Arial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00000000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>12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 w:val="on"/>
      <w:lvlText w:val="%1.%2."/>
      <w:lvlJc w:val="left"/>
      <w:pPr>
        <w:ind w:left="1134" w:hanging="600"/>
      </w:pPr>
      <w:rPr>
        <w:rFonts w:hint="default"/>
      </w:rPr>
    </w:lvl>
    <w:lvl w:ilvl="2" w:tentative="0">
      <w:start w:val="2"/>
      <w:numFmt w:val="decimal"/>
      <w:isLgl w:val="on"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 w:val="on"/>
      <w:lvlText w:val="%1.%2.%3.%4."/>
      <w:lvlJc w:val="left"/>
      <w:pPr>
        <w:ind w:left="1602" w:hanging="720"/>
      </w:pPr>
      <w:rPr>
        <w:rFonts w:hint="default"/>
      </w:rPr>
    </w:lvl>
    <w:lvl w:ilvl="4" w:tentative="0">
      <w:start w:val="1"/>
      <w:numFmt w:val="decimal"/>
      <w:isLgl w:val="on"/>
      <w:lvlText w:val="%1.%2.%3.%4.%5."/>
      <w:lvlJc w:val="left"/>
      <w:pPr>
        <w:ind w:left="2136" w:hanging="1080"/>
      </w:pPr>
      <w:rPr>
        <w:rFonts w:hint="default"/>
      </w:rPr>
    </w:lvl>
    <w:lvl w:ilvl="5" w:tentative="0">
      <w:start w:val="1"/>
      <w:numFmt w:val="decimal"/>
      <w:isLgl w:val="on"/>
      <w:lvlText w:val="%1.%2.%3.%4.%5.%6."/>
      <w:lvlJc w:val="left"/>
      <w:pPr>
        <w:ind w:left="2310" w:hanging="1080"/>
      </w:pPr>
      <w:rPr>
        <w:rFonts w:hint="default"/>
      </w:rPr>
    </w:lvl>
    <w:lvl w:ilvl="6" w:tentative="0">
      <w:start w:val="1"/>
      <w:numFmt w:val="decimal"/>
      <w:isLgl w:val="on"/>
      <w:lvlText w:val="%1.%2.%3.%4.%5.%6.%7."/>
      <w:lvlJc w:val="left"/>
      <w:pPr>
        <w:ind w:left="2844" w:hanging="1440"/>
      </w:pPr>
      <w:rPr>
        <w:rFonts w:hint="default"/>
      </w:rPr>
    </w:lvl>
    <w:lvl w:ilvl="7" w:tentative="0">
      <w:start w:val="1"/>
      <w:numFmt w:val="decimal"/>
      <w:isLgl w:val="on"/>
      <w:lvlText w:val="%1.%2.%3.%4.%5.%6.%7.%8."/>
      <w:lvlJc w:val="left"/>
      <w:pPr>
        <w:ind w:left="3018" w:hanging="1440"/>
      </w:pPr>
      <w:rPr>
        <w:rFonts w:hint="default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multiLevelType w:val="hybridMultilevel"/>
    <w:lvl w:ilvl="0" w:tentative="0">
      <w:start w:val="1"/>
      <w:numFmt w:val="decimal"/>
      <w:lvlText w:val="%1)"/>
      <w:lvlJc w:val="left"/>
      <w:pPr>
        <w:ind w:left="159" w:hanging="506"/>
      </w:pPr>
      <w:rPr>
        <w:rFonts w:ascii="Calibri" w:cs="Calibri" w:eastAsia="Calibri" w:hAnsi="Calibri" w:hint="default"/>
        <w:spacing w:val="-1"/>
        <w:w w:val="104"/>
        <w:sz w:val="28"/>
        <w:szCs w:val="28"/>
        <w:lang w:val="ru-RU" w:bidi="ar-SA" w:eastAsia="en-US"/>
      </w:rPr>
    </w:lvl>
    <w:lvl w:ilvl="1" w:tentative="0">
      <w:numFmt w:val="bullet"/>
      <w:lvlText w:val="•"/>
      <w:lvlJc w:val="left"/>
      <w:pPr>
        <w:ind w:left="1156" w:hanging="506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153" w:hanging="506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3149" w:hanging="506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4146" w:hanging="506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5143" w:hanging="506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6139" w:hanging="506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7136" w:hanging="506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8133" w:hanging="506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off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5"/>
  </w:num>
  <w:num w:numId="6">
    <w:abstractNumId w:val="13"/>
  </w:num>
  <w:num w:numId="7">
    <w:abstractNumId w:val="1"/>
  </w:num>
  <w:num w:numId="8">
    <w:abstractNumId w:val="1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4E5"/>
    <w:rsid w:val="000265D9"/>
    <w:rsid w:val="0011133B"/>
    <w:rsid w:val="00293B3A"/>
    <w:rsid w:val="002B6A12"/>
    <w:rsid w:val="00731D7A"/>
    <w:rsid w:val="007D4A3D"/>
    <w:rsid w:val="007F3203"/>
    <w:rsid w:val="0080259A"/>
    <w:rsid w:val="00A53683"/>
    <w:rsid w:val="00AC2CF7"/>
    <w:rsid w:val="00BE4389"/>
    <w:rsid w:val="00E90175"/>
    <w:rsid w:val="00EE3D8C"/>
    <w:rsid w:val="00F0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Calibri" w:cs="Times New Roman" w:eastAsia="Times New Roman" w:hAnsi="Calibri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ListParagraph">
    <w:name w:val="List Paragraph"/>
    <w:aliases w:val="Содержание. 2 уровень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Normal"/>
    <w:link w:val="АбзацспискаЗнак"/>
    <w:uiPriority w:val="99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АбзацспискаЗнак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ListParagraph"/>
    <w:uiPriority w:val="99"/>
    <w:qFormat w:val="on"/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spacing w:after="60"/>
      <w:jc w:val="center"/>
    </w:pPr>
    <w:rPr>
      <w:rFonts w:ascii="Calibri Light" w:hAnsi="Calibri Light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="Calibri Light" w:cs="Times New Roman" w:eastAsia="Times New Roman" w:hAnsi="Calibri Light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  <w:rPr>
      <w:rFonts w:ascii="Calibri" w:cs="Times New Roman" w:eastAsia="Times New Roman" w:hAnsi="Calibri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Calibri" w:cs="Times New Roman" w:eastAsia="Times New Roman" w:hAnsi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://www.pedsovet.org" TargetMode="External"/><Relationship Id="rId10" Type="http://schemas.openxmlformats.org/officeDocument/2006/relationships/hyperlink" Target="http://www.school.edu.ru" TargetMode="External"/><Relationship Id="rId11" Type="http://schemas.openxmlformats.org/officeDocument/2006/relationships/hyperlink" Target="http://www.edu-all.ru" TargetMode="External"/><Relationship Id="rId12" Type="http://schemas.openxmlformats.org/officeDocument/2006/relationships/hyperlink" Target="http://www.pedlib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3718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